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FB9F6" w14:textId="77777777" w:rsidR="00DA6B64" w:rsidRPr="00C66955" w:rsidRDefault="00F17231">
      <w:pPr>
        <w:pStyle w:val="BodyText"/>
        <w:ind w:left="110"/>
        <w:rPr>
          <w:rFonts w:ascii="Times New Roman"/>
        </w:rPr>
      </w:pPr>
      <w:r w:rsidRPr="00C66955">
        <w:rPr>
          <w:rFonts w:ascii="Times New Roman"/>
          <w:noProof/>
          <w:lang w:eastAsia="fr-CA"/>
        </w:rPr>
        <w:drawing>
          <wp:inline distT="0" distB="0" distL="0" distR="0" wp14:anchorId="48103D7D" wp14:editId="3213CD76">
            <wp:extent cx="7183076" cy="1896332"/>
            <wp:effectExtent l="0" t="0" r="0" b="0"/>
            <wp:docPr id="1" name="Image 1" descr="96334 MSHD_InsuranceNew_0816_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96334 MSHD_InsuranceNew_0816_E"/>
                    <pic:cNvPicPr/>
                  </pic:nvPicPr>
                  <pic:blipFill>
                    <a:blip r:embed="rId5" cstate="print"/>
                    <a:stretch>
                      <a:fillRect/>
                    </a:stretch>
                  </pic:blipFill>
                  <pic:spPr>
                    <a:xfrm>
                      <a:off x="0" y="0"/>
                      <a:ext cx="7183076" cy="1896332"/>
                    </a:xfrm>
                    <a:prstGeom prst="rect">
                      <a:avLst/>
                    </a:prstGeom>
                  </pic:spPr>
                </pic:pic>
              </a:graphicData>
            </a:graphic>
          </wp:inline>
        </w:drawing>
      </w:r>
    </w:p>
    <w:p w14:paraId="54ADFAD1" w14:textId="77777777" w:rsidR="00DA6B64" w:rsidRPr="00C66955" w:rsidRDefault="00DA6B64">
      <w:pPr>
        <w:pStyle w:val="BodyText"/>
        <w:spacing w:before="64"/>
        <w:rPr>
          <w:rFonts w:ascii="Times New Roman"/>
        </w:rPr>
      </w:pPr>
    </w:p>
    <w:p w14:paraId="317C05B5" w14:textId="77777777" w:rsidR="00DA6B64" w:rsidRPr="00C66955" w:rsidRDefault="00BB3AEF">
      <w:pPr>
        <w:pStyle w:val="BodyText"/>
        <w:ind w:right="599"/>
        <w:jc w:val="right"/>
      </w:pPr>
      <w:r w:rsidRPr="00C66955">
        <w:t>13 juin 2025</w:t>
      </w:r>
    </w:p>
    <w:p w14:paraId="7DF3CC2A" w14:textId="77777777" w:rsidR="00DA6B64" w:rsidRPr="00C66955" w:rsidRDefault="00DA6B64">
      <w:pPr>
        <w:pStyle w:val="BodyText"/>
        <w:spacing w:before="38"/>
      </w:pPr>
    </w:p>
    <w:p w14:paraId="0CEC582E" w14:textId="77777777" w:rsidR="00DA6B64" w:rsidRPr="00C66955" w:rsidRDefault="00AF66B8" w:rsidP="00663560">
      <w:pPr>
        <w:pStyle w:val="Title"/>
        <w:ind w:left="720" w:firstLine="0"/>
        <w:jc w:val="center"/>
      </w:pPr>
      <w:r>
        <w:rPr>
          <w:color w:val="001F5F"/>
        </w:rPr>
        <w:t xml:space="preserve">Nouvelles </w:t>
      </w:r>
      <w:r w:rsidR="00F17231" w:rsidRPr="00C66955">
        <w:rPr>
          <w:color w:val="001F5F"/>
        </w:rPr>
        <w:t>exigences réglementaires : Loi et règlements sur le recyclage des produits de la criminalité et le financement des activités terroristes</w:t>
      </w:r>
    </w:p>
    <w:p w14:paraId="61FF85FF" w14:textId="77777777" w:rsidR="00DA6B64" w:rsidRPr="00C66955" w:rsidRDefault="00DA6B64">
      <w:pPr>
        <w:pStyle w:val="BodyText"/>
        <w:spacing w:before="43"/>
      </w:pPr>
    </w:p>
    <w:p w14:paraId="22C464B3" w14:textId="77777777" w:rsidR="00DA6B64" w:rsidRPr="00C66955" w:rsidRDefault="00831D7A">
      <w:pPr>
        <w:pStyle w:val="BodyText"/>
        <w:ind w:left="740" w:right="545"/>
      </w:pPr>
      <w:hyperlink r:id="rId6" w:history="1">
        <w:r w:rsidR="00202F78" w:rsidRPr="00C66955">
          <w:rPr>
            <w:rStyle w:val="Hyperlink"/>
          </w:rPr>
          <w:t>Centre d’analyse des opérations et déclarations financières du Canada</w:t>
        </w:r>
      </w:hyperlink>
      <w:r w:rsidR="00202F78" w:rsidRPr="00C66955">
        <w:t xml:space="preserve">’ Consulter </w:t>
      </w:r>
      <w:hyperlink r:id="rId7" w:history="1">
        <w:r w:rsidR="00202F78" w:rsidRPr="00C66955">
          <w:rPr>
            <w:rStyle w:val="Hyperlink"/>
          </w:rPr>
          <w:t>À quel moment vérifier l’identité des personnes et des entités – Sociétés d’assurance-vie et représentants d’assurance-vie</w:t>
        </w:r>
      </w:hyperlink>
      <w:r w:rsidR="00202F78" w:rsidRPr="00C66955">
        <w:t>, et</w:t>
      </w:r>
      <w:hyperlink r:id="rId8" w:history="1">
        <w:r w:rsidR="00202F78" w:rsidRPr="00C66955">
          <w:rPr>
            <w:rStyle w:val="Hyperlink"/>
          </w:rPr>
          <w:t xml:space="preserve"> directive sur les personnes politiquement vulnérables et les dirigeants d’une organisation internationale à l’intention des sociétés et des représentants d’assurance-vie</w:t>
        </w:r>
      </w:hyperlink>
      <w:r w:rsidR="00202F78" w:rsidRPr="00C66955">
        <w:t>.</w:t>
      </w:r>
    </w:p>
    <w:p w14:paraId="6357F16E" w14:textId="77777777" w:rsidR="00DA6B64" w:rsidRPr="00C66955" w:rsidRDefault="00DA6B64">
      <w:pPr>
        <w:pStyle w:val="BodyText"/>
        <w:spacing w:before="35"/>
      </w:pPr>
    </w:p>
    <w:p w14:paraId="3FD5F0F6" w14:textId="77777777" w:rsidR="00DA6B64" w:rsidRPr="00C66955" w:rsidRDefault="00F17231">
      <w:pPr>
        <w:pStyle w:val="BodyText"/>
        <w:ind w:left="740"/>
      </w:pPr>
      <w:r w:rsidRPr="00C66955">
        <w:t>Nous avons également rédigé les sommaires suivants à votre intention :</w:t>
      </w:r>
    </w:p>
    <w:p w14:paraId="0D89EBB5" w14:textId="77777777" w:rsidR="00DA6B64" w:rsidRPr="00C66955" w:rsidRDefault="00DA6B64">
      <w:pPr>
        <w:pStyle w:val="BodyText"/>
        <w:spacing w:before="40"/>
      </w:pPr>
    </w:p>
    <w:p w14:paraId="7F24262A" w14:textId="77777777" w:rsidR="00DA6B64" w:rsidRPr="00C66955" w:rsidRDefault="00831D7A">
      <w:pPr>
        <w:pStyle w:val="ListParagraph"/>
        <w:numPr>
          <w:ilvl w:val="0"/>
          <w:numId w:val="1"/>
        </w:numPr>
        <w:tabs>
          <w:tab w:val="left" w:pos="1460"/>
        </w:tabs>
        <w:rPr>
          <w:rFonts w:ascii="Symbol" w:hAnsi="Symbol"/>
          <w:color w:val="0000FF"/>
          <w:sz w:val="20"/>
          <w:u w:val="none"/>
        </w:rPr>
      </w:pPr>
      <w:hyperlink r:id="rId9">
        <w:r w:rsidR="00202F78" w:rsidRPr="00C66955">
          <w:rPr>
            <w:color w:val="0000FF"/>
            <w:sz w:val="20"/>
            <w:u w:color="0000FF"/>
          </w:rPr>
          <w:t>Vie universelle RBC</w:t>
        </w:r>
      </w:hyperlink>
      <w:r w:rsidR="00202F78" w:rsidRPr="00C66955">
        <w:rPr>
          <w:color w:val="0000FF"/>
          <w:sz w:val="20"/>
          <w:u w:val="none"/>
          <w:vertAlign w:val="superscript"/>
        </w:rPr>
        <w:t>MC</w:t>
      </w:r>
    </w:p>
    <w:p w14:paraId="28D907EE" w14:textId="77777777" w:rsidR="00DA6B64" w:rsidRPr="005C3D1A" w:rsidRDefault="00F17231">
      <w:pPr>
        <w:pStyle w:val="ListParagraph"/>
        <w:numPr>
          <w:ilvl w:val="0"/>
          <w:numId w:val="1"/>
        </w:numPr>
        <w:tabs>
          <w:tab w:val="left" w:pos="1460"/>
        </w:tabs>
        <w:rPr>
          <w:rStyle w:val="Hyperlink"/>
          <w:rFonts w:ascii="Symbol" w:hAnsi="Symbol"/>
          <w:sz w:val="20"/>
        </w:rPr>
      </w:pPr>
      <w:r w:rsidRPr="00C66955">
        <w:rPr>
          <w:noProof/>
          <w:lang w:eastAsia="fr-CA"/>
        </w:rPr>
        <mc:AlternateContent>
          <mc:Choice Requires="wps">
            <w:drawing>
              <wp:anchor distT="0" distB="0" distL="0" distR="0" simplePos="0" relativeHeight="15728640" behindDoc="0" locked="0" layoutInCell="1" allowOverlap="1" wp14:anchorId="3CBDF4AB" wp14:editId="5E6024ED">
                <wp:simplePos x="0" y="0"/>
                <wp:positionH relativeFrom="page">
                  <wp:posOffset>1143304</wp:posOffset>
                </wp:positionH>
                <wp:positionV relativeFrom="paragraph">
                  <wp:posOffset>137124</wp:posOffset>
                </wp:positionV>
                <wp:extent cx="2379345"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345" cy="7620"/>
                        </a:xfrm>
                        <a:custGeom>
                          <a:avLst/>
                          <a:gdLst/>
                          <a:ahLst/>
                          <a:cxnLst/>
                          <a:rect l="l" t="t" r="r" b="b"/>
                          <a:pathLst>
                            <a:path w="2379345" h="7620">
                              <a:moveTo>
                                <a:pt x="2379218" y="0"/>
                              </a:moveTo>
                              <a:lnTo>
                                <a:pt x="0" y="0"/>
                              </a:lnTo>
                              <a:lnTo>
                                <a:pt x="0" y="7620"/>
                              </a:lnTo>
                              <a:lnTo>
                                <a:pt x="2379218" y="7620"/>
                              </a:lnTo>
                              <a:lnTo>
                                <a:pt x="2379218"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44E19F0" id="Graphic 2" o:spid="_x0000_s1026" style="position:absolute;margin-left:90pt;margin-top:10.8pt;width:187.3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23793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" path="m2379218,l,,,7620r2379218,l2379218,xe" fillcolor="blue" stroked="f">
                <v:path arrowok="t"/>
                <w10:wrap anchorx="page"/>
              </v:shape>
            </w:pict>
          </mc:Fallback>
        </mc:AlternateContent>
      </w:r>
      <w:r w:rsidR="005C3D1A">
        <w:rPr>
          <w:color w:val="0000FF"/>
          <w:u w:val="none"/>
        </w:rPr>
        <w:fldChar w:fldCharType="begin"/>
      </w:r>
      <w:r w:rsidR="005C3D1A">
        <w:rPr>
          <w:color w:val="0000FF"/>
          <w:u w:val="none"/>
        </w:rPr>
        <w:instrText xml:space="preserve"> HYPERLINK "http://www.rbcinsurance.com/salesresourcecentre/file-167892.pdf" </w:instrText>
      </w:r>
      <w:r w:rsidR="005C3D1A">
        <w:rPr>
          <w:color w:val="0000FF"/>
          <w:u w:val="none"/>
        </w:rPr>
      </w:r>
      <w:r w:rsidR="005C3D1A">
        <w:rPr>
          <w:color w:val="0000FF"/>
          <w:u w:val="none"/>
        </w:rPr>
        <w:fldChar w:fldCharType="separate"/>
      </w:r>
      <w:r w:rsidRPr="005C3D1A">
        <w:rPr>
          <w:rStyle w:val="Hyperlink"/>
        </w:rPr>
        <w:t>Gestion de patrimoine, RBC Assurances®</w:t>
      </w:r>
    </w:p>
    <w:p w14:paraId="2911F3E1" w14:textId="77777777" w:rsidR="00DA6B64" w:rsidRPr="00C66955" w:rsidRDefault="005C3D1A">
      <w:pPr>
        <w:pStyle w:val="BodyText"/>
        <w:spacing w:before="35"/>
      </w:pPr>
      <w:r>
        <w:rPr>
          <w:color w:val="0000FF"/>
          <w:sz w:val="22"/>
          <w:szCs w:val="22"/>
          <w:u w:color="000000"/>
        </w:rPr>
        <w:fldChar w:fldCharType="end"/>
      </w:r>
    </w:p>
    <w:p w14:paraId="30C5BDFB" w14:textId="77777777" w:rsidR="00DA6B64" w:rsidRPr="00C66955" w:rsidRDefault="00DA6B64">
      <w:pPr>
        <w:pStyle w:val="BodyText"/>
        <w:spacing w:before="36"/>
      </w:pPr>
    </w:p>
    <w:p w14:paraId="2D16055A" w14:textId="77777777" w:rsidR="00DA6B64" w:rsidRPr="00C66955" w:rsidRDefault="00F17231">
      <w:pPr>
        <w:pStyle w:val="Heading1"/>
      </w:pPr>
      <w:r w:rsidRPr="00C66955">
        <w:t>Exigences en matière de consignation et de vérification de l’identité du particulier titulaire de police</w:t>
      </w:r>
    </w:p>
    <w:p w14:paraId="40D805E4" w14:textId="77777777" w:rsidR="00DA6B64" w:rsidRPr="00C66955" w:rsidRDefault="00DA6B64">
      <w:pPr>
        <w:pStyle w:val="BodyText"/>
        <w:spacing w:before="39"/>
        <w:rPr>
          <w:b/>
        </w:rPr>
      </w:pPr>
    </w:p>
    <w:p w14:paraId="3A66DE82" w14:textId="77777777" w:rsidR="00DA6B64" w:rsidRPr="00C66955" w:rsidRDefault="00F17231">
      <w:pPr>
        <w:pStyle w:val="BodyText"/>
        <w:ind w:left="740" w:right="566"/>
      </w:pPr>
      <w:r w:rsidRPr="00C66955">
        <w:t>La Compagnie d’assurance vie RBC a adopté la méthode d’identification reposant sur un document avec photo délivré par un gouvernement. Cette méthode exige la présentation d’une seule pièce d’identité originale avec photo, valide et en vigueur, délivrée par une autorité gouvernementale fédérale, provinciale ou territoriale, pour vérifier l’identité d’un client. La pièce d’identité ne doit pas être particulièrement endommagée ni modifiée d’une façon quelconque.</w:t>
      </w:r>
    </w:p>
    <w:p w14:paraId="17730389" w14:textId="77777777" w:rsidR="00DA6B64" w:rsidRPr="00C66955" w:rsidRDefault="00DA6B64">
      <w:pPr>
        <w:pStyle w:val="BodyText"/>
        <w:spacing w:before="39"/>
      </w:pPr>
    </w:p>
    <w:p w14:paraId="325B5E3C" w14:textId="77777777" w:rsidR="00DA6B64" w:rsidRPr="00C66955" w:rsidRDefault="00F17231" w:rsidP="006B0185">
      <w:pPr>
        <w:pStyle w:val="BodyText"/>
        <w:spacing w:before="1" w:line="237" w:lineRule="auto"/>
        <w:ind w:left="740" w:right="566"/>
      </w:pPr>
      <w:r w:rsidRPr="00C66955">
        <w:t xml:space="preserve">Nous avons mis à jour nos formulaires pour la saisie des renseignements d’identification sur les particuliers titulaires de police. Les conseillers qui vendent les produits de la Compagnie d’assurance vie RBC doivent rencontrer les titulaires de police en personne pour recueillir les renseignements et vérifier que le nom et la photo sur la pièce d’identité sont ceux du titulaire de police au moment de remplir la demande ou le formulaire. Vous devez vérifier l’identité de la personne au moyen de l’un des documents énumérés dans la proposition ou le formulaire, examiner le document </w:t>
      </w:r>
      <w:r w:rsidRPr="00C66955">
        <w:rPr>
          <w:b/>
        </w:rPr>
        <w:t xml:space="preserve">original </w:t>
      </w:r>
      <w:r w:rsidRPr="00C66955">
        <w:t>non expiré et consigner les données qui y figurent (type et numéro de document, territoire de délivrance, pays de délivrance, date d’expiration et date à laquelle l’identité a été vérifiée). En apposant votre signature sur la proposition ou le formulaire</w:t>
      </w:r>
      <w:r w:rsidRPr="00C66955">
        <w:rPr>
          <w:i/>
        </w:rPr>
        <w:t xml:space="preserve">, </w:t>
      </w:r>
      <w:r w:rsidRPr="00C66955">
        <w:t>vous confirmez avoir respecté les exigences ci-dessus.</w:t>
      </w:r>
    </w:p>
    <w:p w14:paraId="763AF7DD" w14:textId="77777777" w:rsidR="00F17231" w:rsidRPr="00C66955" w:rsidRDefault="00F17231" w:rsidP="006B0185">
      <w:pPr>
        <w:pStyle w:val="BodyText"/>
        <w:spacing w:before="1" w:line="237" w:lineRule="auto"/>
        <w:ind w:left="740" w:right="566"/>
      </w:pPr>
    </w:p>
    <w:p w14:paraId="4F43D1D8" w14:textId="77777777" w:rsidR="00F17231" w:rsidRPr="00C66955" w:rsidRDefault="00F17231" w:rsidP="006B0185">
      <w:pPr>
        <w:pStyle w:val="BodyText"/>
        <w:spacing w:before="1" w:line="237" w:lineRule="auto"/>
        <w:ind w:left="740" w:right="566"/>
      </w:pPr>
      <w:r w:rsidRPr="00C66955">
        <w:rPr>
          <w:highlight w:val="yellow"/>
        </w:rPr>
        <w:t>Pour les rencontres virtuelles, RBC autorise l’authentification à processus double.</w:t>
      </w:r>
      <w:r w:rsidR="00AF66B8">
        <w:rPr>
          <w:highlight w:val="yellow"/>
        </w:rPr>
        <w:t xml:space="preserve"> </w:t>
      </w:r>
      <w:r w:rsidRPr="00C66955">
        <w:rPr>
          <w:highlight w:val="yellow"/>
        </w:rPr>
        <w:t>Il existe une formule supplémentaire d’identification à processus double pour les transformations d’assurance vie universelle et la vente de contrats de rente immédiate non enregistrés de RBC et de Fonds de placement garanti RBC sans la présence du client. Vous trouverez des précisions sur le processus et la formule en cliquant sur les liens suivants</w:t>
      </w:r>
      <w:r w:rsidR="005C3D1A">
        <w:rPr>
          <w:highlight w:val="yellow"/>
        </w:rPr>
        <w:t> :</w:t>
      </w:r>
      <w:r w:rsidR="00AF66B8">
        <w:rPr>
          <w:highlight w:val="yellow"/>
        </w:rPr>
        <w:t xml:space="preserve"> </w:t>
      </w:r>
      <w:hyperlink r:id="rId10" w:history="1">
        <w:r w:rsidRPr="00C66955">
          <w:rPr>
            <w:rStyle w:val="Hyperlink"/>
            <w:highlight w:val="yellow"/>
          </w:rPr>
          <w:t>Mise à jour pour les ventes virtuelles – Assurance vie universelle et contrats non enregistrés : processus étape par étape</w:t>
        </w:r>
      </w:hyperlink>
      <w:r w:rsidRPr="00C66955">
        <w:rPr>
          <w:highlight w:val="yellow"/>
        </w:rPr>
        <w:t xml:space="preserve"> et </w:t>
      </w:r>
      <w:hyperlink r:id="rId11" w:history="1">
        <w:r w:rsidRPr="00C66955">
          <w:rPr>
            <w:rStyle w:val="Hyperlink"/>
            <w:highlight w:val="yellow"/>
          </w:rPr>
          <w:t>Formule supplémentaire d’identification à processus – Aide-mémoire.pdf</w:t>
        </w:r>
      </w:hyperlink>
    </w:p>
    <w:p w14:paraId="77D62F58" w14:textId="77777777" w:rsidR="00DA6B64" w:rsidRPr="00C66955" w:rsidRDefault="00DA6B64" w:rsidP="00F17231">
      <w:pPr>
        <w:pStyle w:val="BodyText"/>
        <w:spacing w:before="37"/>
        <w:ind w:left="810"/>
      </w:pPr>
    </w:p>
    <w:p w14:paraId="6EE3480A" w14:textId="77777777" w:rsidR="00DA6B64" w:rsidRPr="00C66955" w:rsidRDefault="00F17231">
      <w:pPr>
        <w:pStyle w:val="BodyText"/>
        <w:ind w:left="740" w:right="566"/>
      </w:pPr>
      <w:r w:rsidRPr="00C66955">
        <w:t>Pour des raisons de protection des renseignements personnels, nous vous demandons de consigner simplement les renseignements dans le formulaire et de ne pas conserver ni soumettre de copies des documents utilisés pour vérifier l’identité d’un particulier.</w:t>
      </w:r>
    </w:p>
    <w:p w14:paraId="204F9841" w14:textId="77777777" w:rsidR="00DA6B64" w:rsidRPr="00C66955" w:rsidRDefault="00DA6B64">
      <w:pPr>
        <w:pStyle w:val="BodyText"/>
        <w:spacing w:before="36"/>
      </w:pPr>
    </w:p>
    <w:p w14:paraId="2890A964" w14:textId="77777777" w:rsidR="00DA6B64" w:rsidRPr="00C66955" w:rsidRDefault="00F17231">
      <w:pPr>
        <w:pStyle w:val="BodyText"/>
        <w:ind w:left="740" w:right="551"/>
      </w:pPr>
      <w:r w:rsidRPr="00C66955">
        <w:t>Concernant la profession ou la nature des activités, veuillez demander au client de fournir des détails précis. Certaines réponses génériques sans précisions (comme « consultant », « entrepreneur », « propriétaire d’entreprise » ou « travailleur autonome ») ne seront pas acceptées.</w:t>
      </w:r>
    </w:p>
    <w:p w14:paraId="50BF2882" w14:textId="77777777" w:rsidR="00DA6B64" w:rsidRPr="00C66955" w:rsidRDefault="00DA6B64">
      <w:pPr>
        <w:pStyle w:val="BodyText"/>
        <w:spacing w:before="40"/>
      </w:pPr>
    </w:p>
    <w:p w14:paraId="5081F27F" w14:textId="77777777" w:rsidR="00DA6B64" w:rsidRPr="00C66955" w:rsidRDefault="00F17231">
      <w:pPr>
        <w:pStyle w:val="Heading1"/>
        <w:spacing w:before="1" w:line="237" w:lineRule="auto"/>
        <w:ind w:right="566"/>
      </w:pPr>
      <w:r w:rsidRPr="00C66955">
        <w:t>Exigences relatives aux personnes politiquement exposées (PPE), aux dirigeants d’organisations internationales (COI), ainsi qu’aux membres de leur famille et leurs proches associés</w:t>
      </w:r>
    </w:p>
    <w:p w14:paraId="2440C1DD" w14:textId="77777777" w:rsidR="00DA6B64" w:rsidRPr="00C66955" w:rsidRDefault="00DA6B64">
      <w:pPr>
        <w:pStyle w:val="BodyText"/>
        <w:spacing w:before="39"/>
        <w:rPr>
          <w:b/>
        </w:rPr>
      </w:pPr>
    </w:p>
    <w:p w14:paraId="6359F8F3" w14:textId="77777777" w:rsidR="00DA6B64" w:rsidRPr="00C66955" w:rsidRDefault="00BB3AEF">
      <w:pPr>
        <w:pStyle w:val="BodyText"/>
        <w:ind w:left="740" w:right="566"/>
      </w:pPr>
      <w:r w:rsidRPr="00C66955">
        <w:t>Le Règlement sur le recyclage des produits de la criminalité et le financement des activités terroristes (RRPCFAT) définit les personnes politiquement exposées (PPE) comme les PPE étrangères et nationales, les membres de leur famille et leurs proches collaborateurs, ainsi que les chefs d’organisations internationales (COI), les membres de leur famille et leurs proches collaborateurs. Pour les paiements forfaitaires de 100 000 $ CA, une enquête de détermination PPE doit être menée et déclarée comme il se doit.</w:t>
      </w:r>
      <w:r w:rsidR="00AF66B8">
        <w:t xml:space="preserve"> </w:t>
      </w:r>
    </w:p>
    <w:p w14:paraId="0DB06EED" w14:textId="77777777" w:rsidR="00DA6B64" w:rsidRPr="00C66955" w:rsidRDefault="00DA6B64">
      <w:pPr>
        <w:pStyle w:val="BodyText"/>
        <w:spacing w:before="37"/>
      </w:pPr>
    </w:p>
    <w:p w14:paraId="449C3C1C" w14:textId="77777777" w:rsidR="00DA6B64" w:rsidRPr="00C66955" w:rsidRDefault="00F17231">
      <w:pPr>
        <w:pStyle w:val="BodyText"/>
        <w:ind w:left="740" w:right="566"/>
      </w:pPr>
      <w:r w:rsidRPr="00C66955">
        <w:t xml:space="preserve">Une PPE s’entend d’une personne qui occupe, ou a occupé, au cours des cinq dernières années un poste d’influence pour le compte d’un autre pays ou à l’échelle nationale. Un chef d’une organisation internationale est une personne qui occupe ou a occupé au cours des cinq dernières années une fonction ou un poste spécifique à la tête d’une organisation internationale (tel que président ou chef de la direction) qui dirige une organisation créée par les gouvernements d’un État. Les membres de la famille et les proches associés de PPE et de COI sont également pris en compte, étant donné la proximité de personnes pouvant influencer les politiques et les institutions, ce qui peut les rendre vulnérables face à la corruption. </w:t>
      </w:r>
      <w:hyperlink r:id="rId12" w:history="1">
        <w:r w:rsidRPr="00C66955">
          <w:rPr>
            <w:rStyle w:val="Hyperlink"/>
          </w:rPr>
          <w:t>Directives concernant les personnes politiquement exposées et les chefs d’organisations internationales</w:t>
        </w:r>
      </w:hyperlink>
      <w:r w:rsidRPr="00C66955">
        <w:t>.</w:t>
      </w:r>
    </w:p>
    <w:p w14:paraId="38BAD8FC" w14:textId="77777777" w:rsidR="00DA6B64" w:rsidRPr="00C66955" w:rsidRDefault="00DA6B64">
      <w:pPr>
        <w:pStyle w:val="BodyText"/>
        <w:spacing w:before="39"/>
      </w:pPr>
    </w:p>
    <w:p w14:paraId="73231B14" w14:textId="77777777" w:rsidR="00DA6B64" w:rsidRPr="00C66955" w:rsidRDefault="00F17231">
      <w:pPr>
        <w:tabs>
          <w:tab w:val="left" w:pos="10517"/>
        </w:tabs>
        <w:ind w:left="740" w:right="551"/>
        <w:rPr>
          <w:sz w:val="20"/>
        </w:rPr>
      </w:pPr>
      <w:r w:rsidRPr="00C66955">
        <w:t>RBC</w:t>
      </w:r>
      <w:r w:rsidRPr="00C66955">
        <w:rPr>
          <w:sz w:val="20"/>
        </w:rPr>
        <w:t>®</w:t>
      </w:r>
      <w:r w:rsidRPr="00C66955">
        <w:t xml:space="preserve"> surveillera les dépôts de 100 000 $ ou plus et déterminera si le titulaire de police ou le payeur est une PPE, un COI, ou un membre de la famille ou un proche associé d’une PPE ou d’un COI.</w:t>
      </w:r>
      <w:r w:rsidRPr="00C66955">
        <w:rPr>
          <w:sz w:val="20"/>
        </w:rPr>
        <w:t xml:space="preserve"> </w:t>
      </w:r>
      <w:r w:rsidRPr="00C66955">
        <w:rPr>
          <w:b/>
          <w:sz w:val="20"/>
        </w:rPr>
        <w:t xml:space="preserve">Si nous déterminons que certains des critères ci-dessus sont réunis, nous pourrions communiquer avec vous pour obtenir de plus amples renseignements concernant la provenance des fonds. </w:t>
      </w:r>
      <w:r w:rsidRPr="00C66955">
        <w:rPr>
          <w:sz w:val="20"/>
        </w:rPr>
        <w:t>Cette information doit être fournie dès qu’on en fait la demande, car la réglementation n’accorde qu’un court délai pour l’examen de l’opération.</w:t>
      </w:r>
    </w:p>
    <w:p w14:paraId="24D2BECF" w14:textId="77777777" w:rsidR="00DA6B64" w:rsidRPr="00C66955" w:rsidRDefault="00DA6B64">
      <w:pPr>
        <w:pStyle w:val="BodyText"/>
        <w:spacing w:before="34"/>
      </w:pPr>
    </w:p>
    <w:p w14:paraId="43EEDE72" w14:textId="77777777" w:rsidR="0080173E" w:rsidRPr="00C66955" w:rsidRDefault="0080173E">
      <w:pPr>
        <w:pStyle w:val="Heading1"/>
      </w:pPr>
    </w:p>
    <w:p w14:paraId="3DD88DB0" w14:textId="77777777" w:rsidR="0080173E" w:rsidRPr="00C66955" w:rsidRDefault="0080173E">
      <w:pPr>
        <w:pStyle w:val="Heading1"/>
      </w:pPr>
      <w:r w:rsidRPr="00C66955">
        <w:t>Détermination d’un tiers :</w:t>
      </w:r>
    </w:p>
    <w:p w14:paraId="37C05D59" w14:textId="77777777" w:rsidR="0080173E" w:rsidRPr="00C66955" w:rsidRDefault="0080173E">
      <w:pPr>
        <w:pStyle w:val="Heading1"/>
      </w:pPr>
    </w:p>
    <w:p w14:paraId="69C9F2F3" w14:textId="77777777" w:rsidR="0080173E" w:rsidRPr="00C66955" w:rsidRDefault="0080173E" w:rsidP="0080173E">
      <w:pPr>
        <w:pStyle w:val="Heading1"/>
        <w:rPr>
          <w:b w:val="0"/>
          <w:bCs w:val="0"/>
        </w:rPr>
      </w:pPr>
      <w:r w:rsidRPr="00C66955">
        <w:rPr>
          <w:b w:val="0"/>
        </w:rPr>
        <w:t xml:space="preserve">Un tiers est la personne ou l’entité qui charge une autre personne ou entité d’effectuer une transaction ou une activité en son nom. </w:t>
      </w:r>
      <w:hyperlink r:id="rId13" w:anchor="reasonable" w:history="1">
        <w:r w:rsidRPr="00C66955">
          <w:rPr>
            <w:rStyle w:val="Hyperlink"/>
            <w:b w:val="0"/>
          </w:rPr>
          <w:t>Des mesures raisonnables</w:t>
        </w:r>
      </w:hyperlink>
      <w:r w:rsidRPr="00C66955">
        <w:rPr>
          <w:b w:val="0"/>
        </w:rPr>
        <w:t xml:space="preserve"> doivent être prises pour déterminer si un tiers est impliqué dans les transactions effectuées pour de nouvelles polices. </w:t>
      </w:r>
    </w:p>
    <w:p w14:paraId="037A4965" w14:textId="77777777" w:rsidR="0080173E" w:rsidRPr="00C66955" w:rsidRDefault="0080173E" w:rsidP="0080173E">
      <w:pPr>
        <w:pStyle w:val="Heading1"/>
        <w:rPr>
          <w:b w:val="0"/>
          <w:bCs w:val="0"/>
        </w:rPr>
      </w:pPr>
      <w:r w:rsidRPr="00C66955">
        <w:rPr>
          <w:b w:val="0"/>
        </w:rPr>
        <w:t>Les mesures raisonnables pour déterminer l’existence d’un tiers consistent à demander au client s’il agit sur instruction d’une autre personne ou entité ou à lui demander si une autre personne ou entité donnera des instructions sur le compte. </w:t>
      </w:r>
    </w:p>
    <w:p w14:paraId="055E5780" w14:textId="77777777" w:rsidR="0080173E" w:rsidRPr="00C66955" w:rsidRDefault="0080173E">
      <w:pPr>
        <w:pStyle w:val="Heading1"/>
      </w:pPr>
    </w:p>
    <w:p w14:paraId="0F4F78A2" w14:textId="77777777" w:rsidR="0080173E" w:rsidRPr="00C66955" w:rsidRDefault="0080173E">
      <w:pPr>
        <w:pStyle w:val="Heading1"/>
      </w:pPr>
    </w:p>
    <w:p w14:paraId="76D39BFD" w14:textId="77777777" w:rsidR="00DA6B64" w:rsidRPr="00C66955" w:rsidRDefault="00F17231">
      <w:pPr>
        <w:pStyle w:val="Heading1"/>
      </w:pPr>
      <w:r w:rsidRPr="00C66955">
        <w:t>Formulaires</w:t>
      </w:r>
    </w:p>
    <w:p w14:paraId="2F144181" w14:textId="77777777" w:rsidR="00DA6B64" w:rsidRPr="00C66955" w:rsidRDefault="00DA6B64">
      <w:pPr>
        <w:pStyle w:val="BodyText"/>
        <w:spacing w:before="42"/>
        <w:rPr>
          <w:b/>
        </w:rPr>
      </w:pPr>
    </w:p>
    <w:p w14:paraId="3721D0CC" w14:textId="77777777" w:rsidR="00DA6B64" w:rsidRPr="00C66955" w:rsidRDefault="00F17231">
      <w:pPr>
        <w:pStyle w:val="BodyText"/>
        <w:spacing w:line="237" w:lineRule="auto"/>
        <w:ind w:left="740" w:right="566"/>
      </w:pPr>
      <w:r w:rsidRPr="00C66955">
        <w:t xml:space="preserve">Nos propositions et autres formulaires sont là pour vous aider à respecter la réglementation. Comme toujours, une proposition ou un formulaire dûment rempli permet d’assurer la conformité à la réglementation. Veuillez utiliser les formulaires suivants pour toute nouvelle demande/formulaire. Vous pouvez vous procurer ces documents sur le site du </w:t>
      </w:r>
      <w:hyperlink r:id="rId14">
        <w:r w:rsidRPr="00C66955">
          <w:rPr>
            <w:color w:val="0000FF"/>
            <w:u w:val="single" w:color="0000FF"/>
          </w:rPr>
          <w:t>Centre des ressources</w:t>
        </w:r>
      </w:hyperlink>
      <w:r w:rsidRPr="00C66955">
        <w:t xml:space="preserve"> de RBC Assurances.</w:t>
      </w:r>
    </w:p>
    <w:p w14:paraId="27540145" w14:textId="77777777" w:rsidR="00DA6B64" w:rsidRPr="00C66955" w:rsidRDefault="00DA6B64">
      <w:pPr>
        <w:pStyle w:val="BodyText"/>
        <w:spacing w:before="40"/>
      </w:pPr>
    </w:p>
    <w:p w14:paraId="5CC181C4" w14:textId="77777777" w:rsidR="00DA6B64" w:rsidRPr="00C66955" w:rsidRDefault="00F17231">
      <w:pPr>
        <w:pStyle w:val="Heading1"/>
      </w:pPr>
      <w:r w:rsidRPr="00C66955">
        <w:t>Gestion de patrimoine</w:t>
      </w:r>
    </w:p>
    <w:p w14:paraId="069C23E8" w14:textId="77777777" w:rsidR="00DA6B64" w:rsidRPr="00C66955" w:rsidRDefault="00DA6B64">
      <w:pPr>
        <w:pStyle w:val="BodyText"/>
        <w:spacing w:before="40"/>
        <w:rPr>
          <w:b/>
        </w:rPr>
      </w:pPr>
    </w:p>
    <w:p w14:paraId="2F1A3DBE" w14:textId="77777777" w:rsidR="00DA6B64" w:rsidRPr="00C66955" w:rsidRDefault="00831D7A">
      <w:pPr>
        <w:pStyle w:val="ListParagraph"/>
        <w:numPr>
          <w:ilvl w:val="0"/>
          <w:numId w:val="1"/>
        </w:numPr>
        <w:tabs>
          <w:tab w:val="left" w:pos="1460"/>
        </w:tabs>
        <w:spacing w:line="245" w:lineRule="exact"/>
        <w:rPr>
          <w:rFonts w:ascii="Symbol" w:hAnsi="Symbol"/>
          <w:color w:val="0000FF"/>
          <w:sz w:val="20"/>
          <w:u w:val="none"/>
        </w:rPr>
      </w:pPr>
      <w:hyperlink r:id="rId15">
        <w:r w:rsidR="00202F78" w:rsidRPr="00C66955">
          <w:rPr>
            <w:color w:val="0000FF"/>
            <w:sz w:val="20"/>
            <w:u w:color="0000FF"/>
          </w:rPr>
          <w:t>Demande de contrat de Fonds de placement garanti RBC</w:t>
        </w:r>
      </w:hyperlink>
    </w:p>
    <w:p w14:paraId="1CBF8049" w14:textId="77777777" w:rsidR="00DA6B64" w:rsidRPr="00C66955" w:rsidRDefault="00831D7A">
      <w:pPr>
        <w:pStyle w:val="ListParagraph"/>
        <w:numPr>
          <w:ilvl w:val="0"/>
          <w:numId w:val="1"/>
        </w:numPr>
        <w:tabs>
          <w:tab w:val="left" w:pos="1460"/>
        </w:tabs>
        <w:spacing w:line="244" w:lineRule="exact"/>
        <w:rPr>
          <w:rFonts w:ascii="Symbol" w:hAnsi="Symbol"/>
          <w:color w:val="0000FF"/>
          <w:sz w:val="20"/>
          <w:u w:val="none"/>
        </w:rPr>
      </w:pPr>
      <w:hyperlink r:id="rId16">
        <w:r w:rsidR="00202F78" w:rsidRPr="00C66955">
          <w:rPr>
            <w:color w:val="0000FF"/>
            <w:sz w:val="20"/>
            <w:u w:color="0000FF"/>
          </w:rPr>
          <w:t>Demande de Rentes immédiates RBC</w:t>
        </w:r>
      </w:hyperlink>
    </w:p>
    <w:p w14:paraId="79A93753" w14:textId="77777777" w:rsidR="00DA6B64" w:rsidRPr="00C66955" w:rsidRDefault="00831D7A">
      <w:pPr>
        <w:pStyle w:val="ListParagraph"/>
        <w:numPr>
          <w:ilvl w:val="0"/>
          <w:numId w:val="1"/>
        </w:numPr>
        <w:tabs>
          <w:tab w:val="left" w:pos="1460"/>
        </w:tabs>
        <w:spacing w:line="241" w:lineRule="exact"/>
        <w:rPr>
          <w:rFonts w:ascii="Symbol" w:hAnsi="Symbol"/>
          <w:color w:val="0000FF"/>
          <w:sz w:val="20"/>
          <w:u w:val="none"/>
        </w:rPr>
      </w:pPr>
      <w:hyperlink r:id="rId17">
        <w:r w:rsidR="00202F78" w:rsidRPr="00C66955">
          <w:rPr>
            <w:color w:val="0000FF"/>
            <w:sz w:val="20"/>
            <w:u w:color="0000FF"/>
          </w:rPr>
          <w:t>Provenance des fonds</w:t>
        </w:r>
      </w:hyperlink>
    </w:p>
    <w:p w14:paraId="6BBC5DF1" w14:textId="77777777" w:rsidR="00DA6B64" w:rsidRPr="00C66955" w:rsidRDefault="00831D7A">
      <w:pPr>
        <w:pStyle w:val="ListParagraph"/>
        <w:numPr>
          <w:ilvl w:val="0"/>
          <w:numId w:val="1"/>
        </w:numPr>
        <w:tabs>
          <w:tab w:val="left" w:pos="1460"/>
        </w:tabs>
        <w:rPr>
          <w:rFonts w:ascii="Symbol" w:hAnsi="Symbol"/>
          <w:color w:val="0000FF"/>
          <w:sz w:val="20"/>
          <w:u w:val="none"/>
        </w:rPr>
      </w:pPr>
      <w:hyperlink r:id="rId18">
        <w:r w:rsidR="00202F78" w:rsidRPr="00C66955">
          <w:rPr>
            <w:color w:val="0000FF"/>
            <w:sz w:val="20"/>
            <w:u w:color="0000FF"/>
          </w:rPr>
          <w:t>Renseignements sur le tiers</w:t>
        </w:r>
      </w:hyperlink>
    </w:p>
    <w:p w14:paraId="346CCAE1" w14:textId="77777777" w:rsidR="00DA6B64" w:rsidRPr="00C66955" w:rsidRDefault="00DA6B64">
      <w:pPr>
        <w:pStyle w:val="BodyText"/>
        <w:spacing w:before="35"/>
      </w:pPr>
    </w:p>
    <w:p w14:paraId="4CAFFBF8" w14:textId="77777777" w:rsidR="00DA6B64" w:rsidRPr="00C66955" w:rsidRDefault="00F17231" w:rsidP="00663560">
      <w:pPr>
        <w:pStyle w:val="Heading1"/>
        <w:keepNext/>
        <w:keepLines/>
        <w:widowControl/>
        <w:spacing w:before="1"/>
      </w:pPr>
      <w:r w:rsidRPr="00C66955">
        <w:t>Vie universelle</w:t>
      </w:r>
    </w:p>
    <w:p w14:paraId="166237F5" w14:textId="77777777" w:rsidR="00DA6B64" w:rsidRPr="00C66955" w:rsidRDefault="00DA6B64" w:rsidP="00663560">
      <w:pPr>
        <w:pStyle w:val="BodyText"/>
        <w:keepNext/>
        <w:keepLines/>
        <w:widowControl/>
        <w:spacing w:before="39"/>
        <w:rPr>
          <w:b/>
        </w:rPr>
      </w:pPr>
    </w:p>
    <w:p w14:paraId="510963D5" w14:textId="77777777" w:rsidR="00DA6B64" w:rsidRPr="00C66955" w:rsidRDefault="00831D7A" w:rsidP="00663560">
      <w:pPr>
        <w:pStyle w:val="ListParagraph"/>
        <w:keepNext/>
        <w:keepLines/>
        <w:widowControl/>
        <w:numPr>
          <w:ilvl w:val="0"/>
          <w:numId w:val="1"/>
        </w:numPr>
        <w:tabs>
          <w:tab w:val="left" w:pos="1460"/>
        </w:tabs>
        <w:spacing w:line="244" w:lineRule="exact"/>
        <w:rPr>
          <w:rFonts w:ascii="Symbol" w:hAnsi="Symbol"/>
          <w:color w:val="0000FF"/>
          <w:sz w:val="20"/>
          <w:u w:val="none"/>
        </w:rPr>
      </w:pPr>
      <w:hyperlink r:id="rId19">
        <w:r w:rsidR="00202F78" w:rsidRPr="00C66955">
          <w:rPr>
            <w:color w:val="0000FF"/>
            <w:sz w:val="20"/>
            <w:u w:color="0000FF"/>
          </w:rPr>
          <w:t>Complément à la vérification de l’identité (autonome)</w:t>
        </w:r>
      </w:hyperlink>
    </w:p>
    <w:p w14:paraId="7047B433" w14:textId="77777777" w:rsidR="00DA6B64" w:rsidRPr="00C66955" w:rsidRDefault="00831D7A">
      <w:pPr>
        <w:pStyle w:val="ListParagraph"/>
        <w:numPr>
          <w:ilvl w:val="0"/>
          <w:numId w:val="1"/>
        </w:numPr>
        <w:tabs>
          <w:tab w:val="left" w:pos="1460"/>
        </w:tabs>
        <w:spacing w:line="244" w:lineRule="exact"/>
        <w:rPr>
          <w:rFonts w:ascii="Symbol" w:hAnsi="Symbol"/>
          <w:color w:val="0000FF"/>
          <w:sz w:val="20"/>
          <w:u w:val="none"/>
        </w:rPr>
      </w:pPr>
      <w:hyperlink r:id="rId20">
        <w:r w:rsidR="00202F78" w:rsidRPr="00C66955">
          <w:rPr>
            <w:color w:val="0000FF"/>
            <w:sz w:val="20"/>
            <w:u w:color="0000FF"/>
          </w:rPr>
          <w:t>Cession absolue (transfert de propriété)</w:t>
        </w:r>
      </w:hyperlink>
    </w:p>
    <w:p w14:paraId="09D8EFDB" w14:textId="77777777" w:rsidR="00DA6B64" w:rsidRPr="00C66955" w:rsidRDefault="00831D7A">
      <w:pPr>
        <w:pStyle w:val="ListParagraph"/>
        <w:numPr>
          <w:ilvl w:val="0"/>
          <w:numId w:val="1"/>
        </w:numPr>
        <w:tabs>
          <w:tab w:val="left" w:pos="1460"/>
        </w:tabs>
        <w:spacing w:line="242" w:lineRule="exact"/>
        <w:rPr>
          <w:rFonts w:ascii="Symbol" w:hAnsi="Symbol"/>
          <w:color w:val="0000FF"/>
          <w:sz w:val="20"/>
          <w:u w:val="none"/>
        </w:rPr>
      </w:pPr>
      <w:hyperlink r:id="rId21">
        <w:r w:rsidR="00202F78" w:rsidRPr="00C66955">
          <w:rPr>
            <w:color w:val="0000FF"/>
            <w:sz w:val="20"/>
            <w:u w:color="0000FF"/>
          </w:rPr>
          <w:t>Demande d’exercice du droit de transformation de l’assurance temporaire</w:t>
        </w:r>
      </w:hyperlink>
    </w:p>
    <w:p w14:paraId="62766A9D" w14:textId="77777777" w:rsidR="00DA6B64" w:rsidRPr="00C66955" w:rsidRDefault="00831D7A">
      <w:pPr>
        <w:pStyle w:val="ListParagraph"/>
        <w:numPr>
          <w:ilvl w:val="0"/>
          <w:numId w:val="1"/>
        </w:numPr>
        <w:tabs>
          <w:tab w:val="left" w:pos="1460"/>
        </w:tabs>
        <w:rPr>
          <w:rFonts w:ascii="Symbol" w:hAnsi="Symbol"/>
          <w:color w:val="0000FF"/>
          <w:sz w:val="20"/>
          <w:u w:val="none"/>
        </w:rPr>
      </w:pPr>
      <w:hyperlink r:id="rId22">
        <w:r w:rsidR="00202F78" w:rsidRPr="00C66955">
          <w:rPr>
            <w:color w:val="0000FF"/>
            <w:sz w:val="20"/>
            <w:u w:color="0000FF"/>
          </w:rPr>
          <w:t>Déclaration de source des fonds</w:t>
        </w:r>
      </w:hyperlink>
    </w:p>
    <w:p w14:paraId="73E502DE" w14:textId="77777777" w:rsidR="00663560" w:rsidRPr="00C66955" w:rsidRDefault="00663560">
      <w:pPr>
        <w:pStyle w:val="Heading1"/>
        <w:spacing w:before="84"/>
      </w:pPr>
    </w:p>
    <w:p w14:paraId="33ABE5D3" w14:textId="77777777" w:rsidR="00DA6B64" w:rsidRPr="00C66955" w:rsidRDefault="00F17231">
      <w:pPr>
        <w:pStyle w:val="Heading1"/>
        <w:spacing w:before="84"/>
      </w:pPr>
      <w:r w:rsidRPr="00C66955">
        <w:t>Liens rapides</w:t>
      </w:r>
    </w:p>
    <w:p w14:paraId="649CAE23" w14:textId="77777777" w:rsidR="00DA6B64" w:rsidRPr="00C66955" w:rsidRDefault="00DA6B64">
      <w:pPr>
        <w:pStyle w:val="BodyText"/>
        <w:spacing w:before="40"/>
        <w:rPr>
          <w:b/>
        </w:rPr>
      </w:pPr>
    </w:p>
    <w:p w14:paraId="69D1506D" w14:textId="77777777" w:rsidR="00DA6B64" w:rsidRPr="00C66955" w:rsidRDefault="00F17231">
      <w:pPr>
        <w:pStyle w:val="BodyText"/>
        <w:ind w:left="740" w:right="566"/>
      </w:pPr>
      <w:r w:rsidRPr="00C66955">
        <w:t xml:space="preserve">Cette information est fournie à titre de conseils généraux et n’a pas pour but de vous fournir toutes les précisions sur les changements apportés à </w:t>
      </w:r>
      <w:r w:rsidRPr="00C66955">
        <w:rPr>
          <w:i/>
          <w:iCs/>
        </w:rPr>
        <w:t>Loi sur le recyclage des produits de la criminalité et le financement des activités terroristes</w:t>
      </w:r>
      <w:r w:rsidRPr="00C66955">
        <w:t xml:space="preserve"> et ses règlements. Il vous incombe de vous assurer que vous respectez vos obligations en vertu de cette loi. Pour en savoir davantage, nous vous invitons à communiquer avec votre association sectorielle ou avec le CANAFE, au 1 866 346-8722, ou encore à consulter le site </w:t>
      </w:r>
      <w:hyperlink r:id="rId23" w:history="1">
        <w:r w:rsidRPr="00C66955">
          <w:rPr>
            <w:rStyle w:val="Hyperlink"/>
          </w:rPr>
          <w:t>Sociétés et représentants d’assurance-vie</w:t>
        </w:r>
      </w:hyperlink>
      <w:r w:rsidRPr="00C66955">
        <w:t>.</w:t>
      </w:r>
      <w:r w:rsidRPr="00C66955">
        <w:rPr>
          <w:color w:val="0000FF"/>
          <w:u w:val="single" w:color="0000FF"/>
        </w:rPr>
        <w:t xml:space="preserve"> </w:t>
      </w:r>
    </w:p>
    <w:p w14:paraId="1E074C07" w14:textId="77777777" w:rsidR="00DA6B64" w:rsidRPr="00C66955" w:rsidRDefault="00DA6B64">
      <w:pPr>
        <w:pStyle w:val="BodyText"/>
        <w:rPr>
          <w:sz w:val="18"/>
        </w:rPr>
      </w:pPr>
    </w:p>
    <w:p w14:paraId="18FC67A3" w14:textId="77777777" w:rsidR="00DA6B64" w:rsidRPr="00C66955" w:rsidRDefault="00DA6B64">
      <w:pPr>
        <w:pStyle w:val="BodyText"/>
        <w:rPr>
          <w:sz w:val="18"/>
        </w:rPr>
      </w:pPr>
    </w:p>
    <w:p w14:paraId="26208972" w14:textId="77777777" w:rsidR="00DA6B64" w:rsidRPr="00C66955" w:rsidRDefault="00DA6B64">
      <w:pPr>
        <w:pStyle w:val="BodyText"/>
        <w:rPr>
          <w:sz w:val="18"/>
        </w:rPr>
      </w:pPr>
    </w:p>
    <w:p w14:paraId="49459ADA" w14:textId="77777777" w:rsidR="00DA6B64" w:rsidRPr="00C66955" w:rsidRDefault="00DA6B64">
      <w:pPr>
        <w:pStyle w:val="BodyText"/>
        <w:rPr>
          <w:sz w:val="18"/>
        </w:rPr>
      </w:pPr>
    </w:p>
    <w:p w14:paraId="0E527F21" w14:textId="77777777" w:rsidR="00DA6B64" w:rsidRPr="00C66955" w:rsidRDefault="00DA6B64">
      <w:pPr>
        <w:pStyle w:val="BodyText"/>
        <w:rPr>
          <w:sz w:val="18"/>
        </w:rPr>
      </w:pPr>
    </w:p>
    <w:p w14:paraId="0DE3D7FA" w14:textId="77777777" w:rsidR="00DA6B64" w:rsidRPr="00C66955" w:rsidRDefault="00DA6B64">
      <w:pPr>
        <w:pStyle w:val="BodyText"/>
        <w:rPr>
          <w:sz w:val="18"/>
        </w:rPr>
      </w:pPr>
    </w:p>
    <w:p w14:paraId="78E15421" w14:textId="77777777" w:rsidR="00DA6B64" w:rsidRPr="00C66955" w:rsidRDefault="00DA6B64">
      <w:pPr>
        <w:pStyle w:val="BodyText"/>
        <w:rPr>
          <w:sz w:val="18"/>
        </w:rPr>
      </w:pPr>
    </w:p>
    <w:p w14:paraId="77656CAC" w14:textId="77777777" w:rsidR="00DA6B64" w:rsidRPr="00C66955" w:rsidRDefault="00DA6B64">
      <w:pPr>
        <w:pStyle w:val="BodyText"/>
        <w:rPr>
          <w:sz w:val="18"/>
        </w:rPr>
      </w:pPr>
    </w:p>
    <w:p w14:paraId="0906F7E7" w14:textId="77777777" w:rsidR="00DA6B64" w:rsidRPr="00C66955" w:rsidRDefault="00DA6B64">
      <w:pPr>
        <w:pStyle w:val="BodyText"/>
        <w:rPr>
          <w:sz w:val="18"/>
        </w:rPr>
      </w:pPr>
    </w:p>
    <w:p w14:paraId="6B60FE4E" w14:textId="77777777" w:rsidR="00DA6B64" w:rsidRPr="00C66955" w:rsidRDefault="00DA6B64">
      <w:pPr>
        <w:pStyle w:val="BodyText"/>
        <w:rPr>
          <w:sz w:val="18"/>
        </w:rPr>
      </w:pPr>
    </w:p>
    <w:p w14:paraId="0308E8AE" w14:textId="77777777" w:rsidR="00DA6B64" w:rsidRPr="00C66955" w:rsidRDefault="00DA6B64">
      <w:pPr>
        <w:pStyle w:val="BodyText"/>
        <w:rPr>
          <w:sz w:val="18"/>
        </w:rPr>
      </w:pPr>
    </w:p>
    <w:p w14:paraId="07D315E2" w14:textId="77777777" w:rsidR="00DA6B64" w:rsidRPr="00C66955" w:rsidRDefault="00DA6B64">
      <w:pPr>
        <w:pStyle w:val="BodyText"/>
        <w:rPr>
          <w:sz w:val="18"/>
        </w:rPr>
      </w:pPr>
    </w:p>
    <w:p w14:paraId="47FB3B32" w14:textId="77777777" w:rsidR="00DA6B64" w:rsidRPr="00C66955" w:rsidRDefault="00DA6B64">
      <w:pPr>
        <w:pStyle w:val="BodyText"/>
        <w:rPr>
          <w:sz w:val="18"/>
        </w:rPr>
      </w:pPr>
    </w:p>
    <w:p w14:paraId="0C1AD190" w14:textId="77777777" w:rsidR="00DA6B64" w:rsidRPr="00C66955" w:rsidRDefault="00DA6B64">
      <w:pPr>
        <w:pStyle w:val="BodyText"/>
        <w:rPr>
          <w:sz w:val="18"/>
        </w:rPr>
      </w:pPr>
    </w:p>
    <w:p w14:paraId="7BE634C9" w14:textId="77777777" w:rsidR="00DA6B64" w:rsidRPr="00C66955" w:rsidRDefault="00DA6B64">
      <w:pPr>
        <w:pStyle w:val="BodyText"/>
        <w:rPr>
          <w:sz w:val="18"/>
        </w:rPr>
      </w:pPr>
    </w:p>
    <w:p w14:paraId="4983FB0E" w14:textId="77777777" w:rsidR="00DA6B64" w:rsidRPr="00C66955" w:rsidRDefault="00DA6B64">
      <w:pPr>
        <w:pStyle w:val="BodyText"/>
        <w:rPr>
          <w:sz w:val="18"/>
        </w:rPr>
      </w:pPr>
    </w:p>
    <w:p w14:paraId="674321A0" w14:textId="77777777" w:rsidR="00DA6B64" w:rsidRPr="00C66955" w:rsidRDefault="00DA6B64">
      <w:pPr>
        <w:pStyle w:val="BodyText"/>
        <w:rPr>
          <w:sz w:val="18"/>
        </w:rPr>
      </w:pPr>
    </w:p>
    <w:p w14:paraId="156DD34A" w14:textId="77777777" w:rsidR="00DA6B64" w:rsidRPr="00C66955" w:rsidRDefault="00DA6B64">
      <w:pPr>
        <w:pStyle w:val="BodyText"/>
        <w:rPr>
          <w:sz w:val="18"/>
        </w:rPr>
      </w:pPr>
    </w:p>
    <w:p w14:paraId="314F8165" w14:textId="77777777" w:rsidR="00DA6B64" w:rsidRPr="00C66955" w:rsidRDefault="00DA6B64">
      <w:pPr>
        <w:pStyle w:val="BodyText"/>
        <w:rPr>
          <w:sz w:val="18"/>
        </w:rPr>
      </w:pPr>
    </w:p>
    <w:p w14:paraId="5223CC6B" w14:textId="77777777" w:rsidR="00DA6B64" w:rsidRPr="00C66955" w:rsidRDefault="00DA6B64">
      <w:pPr>
        <w:pStyle w:val="BodyText"/>
        <w:rPr>
          <w:sz w:val="18"/>
        </w:rPr>
      </w:pPr>
    </w:p>
    <w:p w14:paraId="4265FEB6" w14:textId="77777777" w:rsidR="00DA6B64" w:rsidRPr="00C66955" w:rsidRDefault="00DA6B64">
      <w:pPr>
        <w:pStyle w:val="BodyText"/>
        <w:rPr>
          <w:sz w:val="18"/>
        </w:rPr>
      </w:pPr>
    </w:p>
    <w:p w14:paraId="5DE95DCA" w14:textId="77777777" w:rsidR="00DA6B64" w:rsidRPr="00C66955" w:rsidRDefault="00DA6B64">
      <w:pPr>
        <w:pStyle w:val="BodyText"/>
        <w:rPr>
          <w:sz w:val="18"/>
        </w:rPr>
      </w:pPr>
    </w:p>
    <w:p w14:paraId="5CBFE7C5" w14:textId="77777777" w:rsidR="00DA6B64" w:rsidRPr="00C66955" w:rsidRDefault="00DA6B64">
      <w:pPr>
        <w:pStyle w:val="BodyText"/>
        <w:rPr>
          <w:sz w:val="18"/>
        </w:rPr>
      </w:pPr>
    </w:p>
    <w:p w14:paraId="492B6528" w14:textId="77777777" w:rsidR="00DA6B64" w:rsidRPr="00C66955" w:rsidRDefault="00DA6B64">
      <w:pPr>
        <w:pStyle w:val="BodyText"/>
        <w:rPr>
          <w:sz w:val="18"/>
        </w:rPr>
      </w:pPr>
    </w:p>
    <w:p w14:paraId="20D47B49" w14:textId="77777777" w:rsidR="00DA6B64" w:rsidRPr="00C66955" w:rsidRDefault="00DA6B64">
      <w:pPr>
        <w:pStyle w:val="BodyText"/>
        <w:rPr>
          <w:sz w:val="18"/>
        </w:rPr>
      </w:pPr>
    </w:p>
    <w:p w14:paraId="128A6B80" w14:textId="77777777" w:rsidR="00DA6B64" w:rsidRPr="00C66955" w:rsidRDefault="00DA6B64">
      <w:pPr>
        <w:pStyle w:val="BodyText"/>
        <w:rPr>
          <w:sz w:val="18"/>
        </w:rPr>
      </w:pPr>
    </w:p>
    <w:p w14:paraId="634AC804" w14:textId="77777777" w:rsidR="00DA6B64" w:rsidRPr="00C66955" w:rsidRDefault="00DA6B64">
      <w:pPr>
        <w:pStyle w:val="BodyText"/>
        <w:rPr>
          <w:sz w:val="18"/>
        </w:rPr>
      </w:pPr>
    </w:p>
    <w:p w14:paraId="46E83C56" w14:textId="77777777" w:rsidR="00DA6B64" w:rsidRPr="00C66955" w:rsidRDefault="00DA6B64">
      <w:pPr>
        <w:pStyle w:val="BodyText"/>
        <w:rPr>
          <w:sz w:val="18"/>
        </w:rPr>
      </w:pPr>
    </w:p>
    <w:p w14:paraId="565F84E2" w14:textId="77777777" w:rsidR="00DA6B64" w:rsidRPr="00C66955" w:rsidRDefault="00DA6B64">
      <w:pPr>
        <w:pStyle w:val="BodyText"/>
        <w:rPr>
          <w:sz w:val="18"/>
        </w:rPr>
      </w:pPr>
    </w:p>
    <w:p w14:paraId="2979C38B" w14:textId="77777777" w:rsidR="00DA6B64" w:rsidRPr="00C66955" w:rsidRDefault="00DA6B64">
      <w:pPr>
        <w:pStyle w:val="BodyText"/>
        <w:rPr>
          <w:sz w:val="18"/>
        </w:rPr>
      </w:pPr>
    </w:p>
    <w:p w14:paraId="3F4F857C" w14:textId="77777777" w:rsidR="00DA6B64" w:rsidRPr="00C66955" w:rsidRDefault="00DA6B64">
      <w:pPr>
        <w:pStyle w:val="BodyText"/>
        <w:rPr>
          <w:sz w:val="18"/>
        </w:rPr>
      </w:pPr>
    </w:p>
    <w:p w14:paraId="68C0C5A7" w14:textId="77777777" w:rsidR="00DA6B64" w:rsidRPr="00C66955" w:rsidRDefault="00DA6B64">
      <w:pPr>
        <w:pStyle w:val="BodyText"/>
        <w:rPr>
          <w:sz w:val="18"/>
        </w:rPr>
      </w:pPr>
    </w:p>
    <w:p w14:paraId="466B8F2E" w14:textId="77777777" w:rsidR="00DA6B64" w:rsidRPr="00C66955" w:rsidRDefault="00DA6B64">
      <w:pPr>
        <w:pStyle w:val="BodyText"/>
        <w:rPr>
          <w:sz w:val="18"/>
        </w:rPr>
      </w:pPr>
    </w:p>
    <w:p w14:paraId="2760A6B0" w14:textId="77777777" w:rsidR="00DA6B64" w:rsidRPr="00C66955" w:rsidRDefault="00DA6B64">
      <w:pPr>
        <w:pStyle w:val="BodyText"/>
        <w:rPr>
          <w:sz w:val="18"/>
        </w:rPr>
      </w:pPr>
    </w:p>
    <w:p w14:paraId="41E772A6" w14:textId="77777777" w:rsidR="00DA6B64" w:rsidRPr="00C66955" w:rsidRDefault="00DA6B64">
      <w:pPr>
        <w:pStyle w:val="BodyText"/>
        <w:rPr>
          <w:sz w:val="18"/>
        </w:rPr>
      </w:pPr>
    </w:p>
    <w:p w14:paraId="6726136F" w14:textId="77777777" w:rsidR="00DA6B64" w:rsidRPr="00C66955" w:rsidRDefault="00DA6B64">
      <w:pPr>
        <w:pStyle w:val="BodyText"/>
        <w:rPr>
          <w:sz w:val="18"/>
        </w:rPr>
      </w:pPr>
    </w:p>
    <w:p w14:paraId="3AC46DF4" w14:textId="77777777" w:rsidR="00DA6B64" w:rsidRPr="00C66955" w:rsidRDefault="00DA6B64">
      <w:pPr>
        <w:pStyle w:val="BodyText"/>
        <w:rPr>
          <w:sz w:val="18"/>
        </w:rPr>
      </w:pPr>
    </w:p>
    <w:p w14:paraId="1CBB014F" w14:textId="77777777" w:rsidR="00DA6B64" w:rsidRPr="00C66955" w:rsidRDefault="00DA6B64">
      <w:pPr>
        <w:pStyle w:val="BodyText"/>
        <w:spacing w:before="110"/>
        <w:rPr>
          <w:sz w:val="18"/>
        </w:rPr>
      </w:pPr>
    </w:p>
    <w:p w14:paraId="4D2DFB1B" w14:textId="77777777" w:rsidR="00DA6B64" w:rsidRPr="00C66955" w:rsidRDefault="00F17231">
      <w:pPr>
        <w:ind w:right="39"/>
        <w:jc w:val="center"/>
        <w:rPr>
          <w:sz w:val="18"/>
        </w:rPr>
      </w:pPr>
      <w:r w:rsidRPr="00C66955">
        <w:rPr>
          <w:color w:val="808080"/>
          <w:sz w:val="18"/>
        </w:rPr>
        <w:t>Compagnie d’assurance vie RBC.</w:t>
      </w:r>
    </w:p>
    <w:p w14:paraId="7807189E" w14:textId="77777777" w:rsidR="00DA6B64" w:rsidRPr="00C66955" w:rsidRDefault="00F17231">
      <w:pPr>
        <w:spacing w:before="18"/>
        <w:ind w:left="1" w:right="39"/>
        <w:jc w:val="center"/>
        <w:rPr>
          <w:sz w:val="16"/>
        </w:rPr>
      </w:pPr>
      <w:r w:rsidRPr="00C66955">
        <w:rPr>
          <w:color w:val="808080"/>
          <w:sz w:val="16"/>
          <w:vertAlign w:val="superscript"/>
        </w:rPr>
        <w:t>®</w:t>
      </w:r>
      <w:r w:rsidRPr="00C66955">
        <w:rPr>
          <w:color w:val="808080"/>
          <w:sz w:val="16"/>
        </w:rPr>
        <w:t xml:space="preserve"> </w:t>
      </w:r>
      <w:r w:rsidRPr="00C66955">
        <w:rPr>
          <w:color w:val="808080"/>
          <w:sz w:val="16"/>
          <w:vertAlign w:val="superscript"/>
        </w:rPr>
        <w:t>/</w:t>
      </w:r>
      <w:r w:rsidRPr="00C66955">
        <w:rPr>
          <w:color w:val="808080"/>
          <w:sz w:val="16"/>
        </w:rPr>
        <w:t xml:space="preserve"> </w:t>
      </w:r>
      <w:r w:rsidRPr="00C66955">
        <w:rPr>
          <w:color w:val="808080"/>
          <w:sz w:val="16"/>
          <w:vertAlign w:val="superscript"/>
        </w:rPr>
        <w:t>MC</w:t>
      </w:r>
      <w:r w:rsidRPr="00C66955">
        <w:rPr>
          <w:color w:val="808080"/>
          <w:sz w:val="16"/>
        </w:rPr>
        <w:t xml:space="preserve"> Marques de commerce de Banque Royale du Canada. </w:t>
      </w:r>
      <w:proofErr w:type="gramStart"/>
      <w:r w:rsidRPr="00C66955">
        <w:rPr>
          <w:color w:val="808080"/>
          <w:sz w:val="16"/>
        </w:rPr>
        <w:t>utilisées</w:t>
      </w:r>
      <w:proofErr w:type="gramEnd"/>
      <w:r w:rsidRPr="00C66955">
        <w:rPr>
          <w:color w:val="808080"/>
          <w:sz w:val="16"/>
        </w:rPr>
        <w:t xml:space="preserve"> sous licence.</w:t>
      </w:r>
    </w:p>
    <w:p w14:paraId="43484F1F" w14:textId="77777777" w:rsidR="00DA6B64" w:rsidRPr="00C66955" w:rsidRDefault="00831D7A">
      <w:pPr>
        <w:spacing w:before="17"/>
        <w:ind w:left="2" w:right="39"/>
        <w:jc w:val="center"/>
        <w:rPr>
          <w:sz w:val="16"/>
        </w:rPr>
      </w:pPr>
      <w:hyperlink r:id="rId24">
        <w:r w:rsidR="00202F78" w:rsidRPr="00C66955">
          <w:rPr>
            <w:color w:val="0000FF"/>
            <w:sz w:val="16"/>
            <w:u w:val="single" w:color="0000FF"/>
          </w:rPr>
          <w:t>Protection des renseignements personnels et Sécurité</w:t>
        </w:r>
      </w:hyperlink>
      <w:r w:rsidR="00202F78" w:rsidRPr="00C66955">
        <w:rPr>
          <w:color w:val="0000FF"/>
          <w:sz w:val="16"/>
        </w:rPr>
        <w:t xml:space="preserve"> </w:t>
      </w:r>
      <w:r w:rsidR="00202F78" w:rsidRPr="00C66955">
        <w:rPr>
          <w:sz w:val="16"/>
        </w:rPr>
        <w:t xml:space="preserve">| </w:t>
      </w:r>
      <w:hyperlink r:id="rId25">
        <w:r w:rsidR="00202F78" w:rsidRPr="00C66955">
          <w:rPr>
            <w:color w:val="0000FF"/>
            <w:sz w:val="16"/>
            <w:u w:val="single" w:color="0000FF"/>
          </w:rPr>
          <w:t>Nous joindre</w:t>
        </w:r>
      </w:hyperlink>
      <w:r w:rsidR="00202F78" w:rsidRPr="00C66955">
        <w:rPr>
          <w:sz w:val="16"/>
        </w:rPr>
        <w:t xml:space="preserve"> | </w:t>
      </w:r>
      <w:hyperlink r:id="rId26">
        <w:r w:rsidR="00202F78" w:rsidRPr="00C66955">
          <w:rPr>
            <w:color w:val="0000FF"/>
            <w:sz w:val="16"/>
            <w:u w:val="single" w:color="0000FF"/>
          </w:rPr>
          <w:t>Nouvelles de RBC Assurances</w:t>
        </w:r>
      </w:hyperlink>
    </w:p>
    <w:sectPr w:rsidR="00DA6B64" w:rsidRPr="00C66955">
      <w:pgSz w:w="12240" w:h="15840"/>
      <w:pgMar w:top="1140" w:right="300"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312B7"/>
    <w:multiLevelType w:val="hybridMultilevel"/>
    <w:tmpl w:val="64021E8C"/>
    <w:lvl w:ilvl="0" w:tplc="678A9EE0">
      <w:numFmt w:val="bullet"/>
      <w:lvlText w:val=""/>
      <w:lvlJc w:val="left"/>
      <w:pPr>
        <w:ind w:left="1460" w:hanging="360"/>
      </w:pPr>
      <w:rPr>
        <w:rFonts w:ascii="Symbol" w:eastAsia="Symbol" w:hAnsi="Symbol" w:cs="Symbol" w:hint="default"/>
        <w:spacing w:val="0"/>
        <w:w w:val="99"/>
        <w:lang w:val="en-US" w:eastAsia="en-US" w:bidi="ar-SA"/>
      </w:rPr>
    </w:lvl>
    <w:lvl w:ilvl="1" w:tplc="72F22770">
      <w:numFmt w:val="bullet"/>
      <w:lvlText w:val="•"/>
      <w:lvlJc w:val="left"/>
      <w:pPr>
        <w:ind w:left="2474" w:hanging="360"/>
      </w:pPr>
      <w:rPr>
        <w:rFonts w:hint="default"/>
        <w:lang w:val="en-US" w:eastAsia="en-US" w:bidi="ar-SA"/>
      </w:rPr>
    </w:lvl>
    <w:lvl w:ilvl="2" w:tplc="407A15B6">
      <w:numFmt w:val="bullet"/>
      <w:lvlText w:val="•"/>
      <w:lvlJc w:val="left"/>
      <w:pPr>
        <w:ind w:left="3488" w:hanging="360"/>
      </w:pPr>
      <w:rPr>
        <w:rFonts w:hint="default"/>
        <w:lang w:val="en-US" w:eastAsia="en-US" w:bidi="ar-SA"/>
      </w:rPr>
    </w:lvl>
    <w:lvl w:ilvl="3" w:tplc="5F1AD504">
      <w:numFmt w:val="bullet"/>
      <w:lvlText w:val="•"/>
      <w:lvlJc w:val="left"/>
      <w:pPr>
        <w:ind w:left="4502" w:hanging="360"/>
      </w:pPr>
      <w:rPr>
        <w:rFonts w:hint="default"/>
        <w:lang w:val="en-US" w:eastAsia="en-US" w:bidi="ar-SA"/>
      </w:rPr>
    </w:lvl>
    <w:lvl w:ilvl="4" w:tplc="95BCFC04">
      <w:numFmt w:val="bullet"/>
      <w:lvlText w:val="•"/>
      <w:lvlJc w:val="left"/>
      <w:pPr>
        <w:ind w:left="5516" w:hanging="360"/>
      </w:pPr>
      <w:rPr>
        <w:rFonts w:hint="default"/>
        <w:lang w:val="en-US" w:eastAsia="en-US" w:bidi="ar-SA"/>
      </w:rPr>
    </w:lvl>
    <w:lvl w:ilvl="5" w:tplc="D13EB666">
      <w:numFmt w:val="bullet"/>
      <w:lvlText w:val="•"/>
      <w:lvlJc w:val="left"/>
      <w:pPr>
        <w:ind w:left="6530" w:hanging="360"/>
      </w:pPr>
      <w:rPr>
        <w:rFonts w:hint="default"/>
        <w:lang w:val="en-US" w:eastAsia="en-US" w:bidi="ar-SA"/>
      </w:rPr>
    </w:lvl>
    <w:lvl w:ilvl="6" w:tplc="03624308">
      <w:numFmt w:val="bullet"/>
      <w:lvlText w:val="•"/>
      <w:lvlJc w:val="left"/>
      <w:pPr>
        <w:ind w:left="7544" w:hanging="360"/>
      </w:pPr>
      <w:rPr>
        <w:rFonts w:hint="default"/>
        <w:lang w:val="en-US" w:eastAsia="en-US" w:bidi="ar-SA"/>
      </w:rPr>
    </w:lvl>
    <w:lvl w:ilvl="7" w:tplc="2070EE16">
      <w:numFmt w:val="bullet"/>
      <w:lvlText w:val="•"/>
      <w:lvlJc w:val="left"/>
      <w:pPr>
        <w:ind w:left="8558" w:hanging="360"/>
      </w:pPr>
      <w:rPr>
        <w:rFonts w:hint="default"/>
        <w:lang w:val="en-US" w:eastAsia="en-US" w:bidi="ar-SA"/>
      </w:rPr>
    </w:lvl>
    <w:lvl w:ilvl="8" w:tplc="7194DC74">
      <w:numFmt w:val="bullet"/>
      <w:lvlText w:val="•"/>
      <w:lvlJc w:val="left"/>
      <w:pPr>
        <w:ind w:left="9572" w:hanging="360"/>
      </w:pPr>
      <w:rPr>
        <w:rFonts w:hint="default"/>
        <w:lang w:val="en-US" w:eastAsia="en-US" w:bidi="ar-SA"/>
      </w:rPr>
    </w:lvl>
  </w:abstractNum>
  <w:num w:numId="1" w16cid:durableId="208988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64"/>
    <w:rsid w:val="000E682D"/>
    <w:rsid w:val="0016467A"/>
    <w:rsid w:val="00202F78"/>
    <w:rsid w:val="00301808"/>
    <w:rsid w:val="003C0F18"/>
    <w:rsid w:val="0055350B"/>
    <w:rsid w:val="00570AC7"/>
    <w:rsid w:val="005736DC"/>
    <w:rsid w:val="005C3D1A"/>
    <w:rsid w:val="005D562F"/>
    <w:rsid w:val="00663560"/>
    <w:rsid w:val="006B0185"/>
    <w:rsid w:val="007D5F63"/>
    <w:rsid w:val="0080173E"/>
    <w:rsid w:val="00802B0A"/>
    <w:rsid w:val="00831D7A"/>
    <w:rsid w:val="008555CB"/>
    <w:rsid w:val="009D0D06"/>
    <w:rsid w:val="00AF66B8"/>
    <w:rsid w:val="00B37867"/>
    <w:rsid w:val="00B40A70"/>
    <w:rsid w:val="00BB3AEF"/>
    <w:rsid w:val="00C34A54"/>
    <w:rsid w:val="00C66955"/>
    <w:rsid w:val="00DA6B64"/>
    <w:rsid w:val="00DB31D5"/>
    <w:rsid w:val="00EC3AB5"/>
    <w:rsid w:val="00F1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12443"/>
  <w15:docId w15:val="{1B9A290A-9A2E-4819-B3C2-C4782FB8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7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972" w:right="566" w:hanging="1604"/>
    </w:pPr>
    <w:rPr>
      <w:b/>
      <w:bCs/>
      <w:sz w:val="24"/>
      <w:szCs w:val="24"/>
    </w:rPr>
  </w:style>
  <w:style w:type="paragraph" w:styleId="ListParagraph">
    <w:name w:val="List Paragraph"/>
    <w:basedOn w:val="Normal"/>
    <w:uiPriority w:val="1"/>
    <w:qFormat/>
    <w:pPr>
      <w:spacing w:line="243" w:lineRule="exact"/>
      <w:ind w:left="1460" w:hanging="360"/>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BB3AEF"/>
    <w:pPr>
      <w:widowControl/>
      <w:autoSpaceDE/>
      <w:autoSpaceDN/>
    </w:pPr>
    <w:rPr>
      <w:rFonts w:ascii="Verdana" w:eastAsia="Verdana" w:hAnsi="Verdana" w:cs="Verdana"/>
    </w:rPr>
  </w:style>
  <w:style w:type="character" w:styleId="CommentReference">
    <w:name w:val="annotation reference"/>
    <w:basedOn w:val="DefaultParagraphFont"/>
    <w:uiPriority w:val="99"/>
    <w:semiHidden/>
    <w:unhideWhenUsed/>
    <w:rsid w:val="00BB3AEF"/>
    <w:rPr>
      <w:sz w:val="16"/>
      <w:szCs w:val="16"/>
    </w:rPr>
  </w:style>
  <w:style w:type="paragraph" w:styleId="CommentText">
    <w:name w:val="annotation text"/>
    <w:basedOn w:val="Normal"/>
    <w:link w:val="CommentTextChar"/>
    <w:uiPriority w:val="99"/>
    <w:unhideWhenUsed/>
    <w:rsid w:val="00BB3AEF"/>
    <w:rPr>
      <w:sz w:val="20"/>
      <w:szCs w:val="20"/>
    </w:rPr>
  </w:style>
  <w:style w:type="character" w:customStyle="1" w:styleId="CommentTextChar">
    <w:name w:val="Comment Text Char"/>
    <w:basedOn w:val="DefaultParagraphFont"/>
    <w:link w:val="CommentText"/>
    <w:uiPriority w:val="99"/>
    <w:rsid w:val="00BB3AEF"/>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BB3AEF"/>
    <w:rPr>
      <w:b/>
      <w:bCs/>
    </w:rPr>
  </w:style>
  <w:style w:type="character" w:customStyle="1" w:styleId="CommentSubjectChar">
    <w:name w:val="Comment Subject Char"/>
    <w:basedOn w:val="CommentTextChar"/>
    <w:link w:val="CommentSubject"/>
    <w:uiPriority w:val="99"/>
    <w:semiHidden/>
    <w:rsid w:val="00BB3AEF"/>
    <w:rPr>
      <w:rFonts w:ascii="Verdana" w:eastAsia="Verdana" w:hAnsi="Verdana" w:cs="Verdana"/>
      <w:b/>
      <w:bCs/>
      <w:sz w:val="20"/>
      <w:szCs w:val="20"/>
    </w:rPr>
  </w:style>
  <w:style w:type="character" w:styleId="Hyperlink">
    <w:name w:val="Hyperlink"/>
    <w:basedOn w:val="DefaultParagraphFont"/>
    <w:uiPriority w:val="99"/>
    <w:unhideWhenUsed/>
    <w:rsid w:val="00BB3AEF"/>
    <w:rPr>
      <w:color w:val="0000FF" w:themeColor="hyperlink"/>
      <w:u w:val="single"/>
    </w:rPr>
  </w:style>
  <w:style w:type="character" w:customStyle="1" w:styleId="UnresolvedMention1">
    <w:name w:val="Unresolved Mention1"/>
    <w:basedOn w:val="DefaultParagraphFont"/>
    <w:uiPriority w:val="99"/>
    <w:semiHidden/>
    <w:unhideWhenUsed/>
    <w:rsid w:val="00BB3AEF"/>
    <w:rPr>
      <w:color w:val="605E5C"/>
      <w:shd w:val="clear" w:color="auto" w:fill="E1DFDD"/>
    </w:rPr>
  </w:style>
  <w:style w:type="paragraph" w:styleId="NormalWeb">
    <w:name w:val="Normal (Web)"/>
    <w:basedOn w:val="Normal"/>
    <w:uiPriority w:val="99"/>
    <w:semiHidden/>
    <w:unhideWhenUsed/>
    <w:rsid w:val="008017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722670">
      <w:bodyDiv w:val="1"/>
      <w:marLeft w:val="0"/>
      <w:marRight w:val="0"/>
      <w:marTop w:val="0"/>
      <w:marBottom w:val="0"/>
      <w:divBdr>
        <w:top w:val="none" w:sz="0" w:space="0" w:color="auto"/>
        <w:left w:val="none" w:sz="0" w:space="0" w:color="auto"/>
        <w:bottom w:val="none" w:sz="0" w:space="0" w:color="auto"/>
        <w:right w:val="none" w:sz="0" w:space="0" w:color="auto"/>
      </w:divBdr>
    </w:div>
    <w:div w:id="2058233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ntrac-canafe.canada.ca/guidance-directives/client-clientele/Guide15/15-eng" TargetMode="External"/><Relationship Id="rId13" Type="http://schemas.openxmlformats.org/officeDocument/2006/relationships/hyperlink" Target="https://fintrac-canafe.canada.ca/guidance-directives/glossary-glossaire/1-eng" TargetMode="External"/><Relationship Id="rId18" Type="http://schemas.openxmlformats.org/officeDocument/2006/relationships/hyperlink" Target="http://www.rbcinsurance.com/salesresourcecentre/file-112079.pdf" TargetMode="External"/><Relationship Id="rId26" Type="http://schemas.openxmlformats.org/officeDocument/2006/relationships/hyperlink" Target="http://www.rbcinsurance.com/salesresourcecentre/cid-119543.html" TargetMode="External"/><Relationship Id="rId3" Type="http://schemas.openxmlformats.org/officeDocument/2006/relationships/settings" Target="settings.xml"/><Relationship Id="rId21" Type="http://schemas.openxmlformats.org/officeDocument/2006/relationships/hyperlink" Target="http://www.rbcinsurance.com/salesresourcecentre/file-466638.pdf" TargetMode="External"/><Relationship Id="rId7" Type="http://schemas.openxmlformats.org/officeDocument/2006/relationships/hyperlink" Target="https://fintrac-canafe.canada.ca/guidance-directives/client-clientele/client/li-eng" TargetMode="External"/><Relationship Id="rId12" Type="http://schemas.openxmlformats.org/officeDocument/2006/relationships/hyperlink" Target="https://fintrac-canafe.canada.ca/guidance-directives/client-clientele/pep/pep-eng" TargetMode="External"/><Relationship Id="rId17" Type="http://schemas.openxmlformats.org/officeDocument/2006/relationships/hyperlink" Target="https://www.rbcinsurance.com/salesresourcecentre/pdf/wealth-management/forms/116611-source-of-funds.pdf" TargetMode="External"/><Relationship Id="rId25" Type="http://schemas.openxmlformats.org/officeDocument/2006/relationships/hyperlink" Target="https://www.rbcinsurance.com/sales-resource-centre/contact-us.html" TargetMode="External"/><Relationship Id="rId2" Type="http://schemas.openxmlformats.org/officeDocument/2006/relationships/styles" Target="styles.xml"/><Relationship Id="rId16" Type="http://schemas.openxmlformats.org/officeDocument/2006/relationships/hyperlink" Target="http://www.rbcinsurance.com/salesresourcecentre/file-758474.pdf" TargetMode="External"/><Relationship Id="rId20" Type="http://schemas.openxmlformats.org/officeDocument/2006/relationships/hyperlink" Target="http://www.rbcinsurance.com/salesresourcecentre/file-108553.pdf" TargetMode="External"/><Relationship Id="rId1" Type="http://schemas.openxmlformats.org/officeDocument/2006/relationships/numbering" Target="numbering.xml"/><Relationship Id="rId6" Type="http://schemas.openxmlformats.org/officeDocument/2006/relationships/hyperlink" Target="https://fintrac-canafe.canada.ca/intro-eng" TargetMode="External"/><Relationship Id="rId11" Type="http://schemas.openxmlformats.org/officeDocument/2006/relationships/hyperlink" Target="https://www.rbcinsurance.com/salesresourcecentre/pdf/wealth-management/forms/supplementary-dual-method-identification-form.pdf" TargetMode="External"/><Relationship Id="rId24" Type="http://schemas.openxmlformats.org/officeDocument/2006/relationships/hyperlink" Target="http://www.rbc.com/privacysecurity/ca/" TargetMode="External"/><Relationship Id="rId5" Type="http://schemas.openxmlformats.org/officeDocument/2006/relationships/image" Target="media/image1.jpeg"/><Relationship Id="rId15" Type="http://schemas.openxmlformats.org/officeDocument/2006/relationships/hyperlink" Target="http://www.rbcinsurance.com/salesresourcecentre/file-472247.pdf" TargetMode="External"/><Relationship Id="rId23" Type="http://schemas.openxmlformats.org/officeDocument/2006/relationships/hyperlink" Target="https://fintrac-canafe.canada.ca/re-ed/li-eng" TargetMode="External"/><Relationship Id="rId28" Type="http://schemas.openxmlformats.org/officeDocument/2006/relationships/theme" Target="theme/theme1.xml"/><Relationship Id="rId10" Type="http://schemas.openxmlformats.org/officeDocument/2006/relationships/hyperlink" Target="https://www.rbcinsurance.com/salesresourcecentre/pdf/wealth-management/forms/dual-method-process-job-aid.pdf" TargetMode="External"/><Relationship Id="rId19" Type="http://schemas.openxmlformats.org/officeDocument/2006/relationships/hyperlink" Target="http://www.rbcinsurance.com/salesresourcecentre/file-171712.pdf" TargetMode="External"/><Relationship Id="rId4" Type="http://schemas.openxmlformats.org/officeDocument/2006/relationships/webSettings" Target="webSettings.xml"/><Relationship Id="rId9" Type="http://schemas.openxmlformats.org/officeDocument/2006/relationships/hyperlink" Target="http://www.rbcinsurance.com/salesresourcecentre/file-167894.pdf" TargetMode="External"/><Relationship Id="rId14" Type="http://schemas.openxmlformats.org/officeDocument/2006/relationships/hyperlink" Target="https://www.rbcinsurance.com/sales-resource-centre/index.html" TargetMode="External"/><Relationship Id="rId22" Type="http://schemas.openxmlformats.org/officeDocument/2006/relationships/hyperlink" Target="http://www.rbcinsurance.com/salesresourcecentre/file-134461.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Antao, Chantelle</dc:creator>
  <cp:lastModifiedBy>Malhi, Surjit</cp:lastModifiedBy>
  <cp:revision>2</cp:revision>
  <dcterms:created xsi:type="dcterms:W3CDTF">2025-08-06T18:29:00Z</dcterms:created>
  <dcterms:modified xsi:type="dcterms:W3CDTF">2025-08-06T18:29:00Z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2017-08-16T00:00:00Z</vt:filetime>
  </property>
  <property fmtid="{D5CDD505-2E9C-101B-9397-08002B2CF9AE}" pid="3" name="Creator">
    <vt:lpwstr>Microsoft® Word 2013</vt:lpwstr>
  </property>
  <property fmtid="{D5CDD505-2E9C-101B-9397-08002B2CF9AE}" pid="4" name="LastSaved">
    <vt:filetime>2025-05-15T00:00:00Z</vt:filetime>
  </property>
  <property fmtid="{D5CDD505-2E9C-101B-9397-08002B2CF9AE}" pid="5" name="Producer">
    <vt:lpwstr>Microsoft® Word 2013</vt:lpwstr>
  </property>
  <property fmtid="{D5CDD505-2E9C-101B-9397-08002B2CF9AE}" pid="6" name="MSIP_Label_f01692fd-22c0-4d57-8827-ca1b33aa058d_Enabled">
    <vt:lpwstr>true</vt:lpwstr>
  </property>
  <property fmtid="{D5CDD505-2E9C-101B-9397-08002B2CF9AE}" pid="7" name="MSIP_Label_f01692fd-22c0-4d57-8827-ca1b33aa058d_Method">
    <vt:lpwstr>Privileged</vt:lpwstr>
  </property>
  <property fmtid="{D5CDD505-2E9C-101B-9397-08002B2CF9AE}" pid="8" name="MSIP_Label_f01692fd-22c0-4d57-8827-ca1b33aa058d_SiteId">
    <vt:lpwstr>9323b596-236d-4890-bed3-60232a849027</vt:lpwstr>
  </property>
  <property fmtid="{D5CDD505-2E9C-101B-9397-08002B2CF9AE}" pid="9" name="Classification">
    <vt:lpwstr>TT_RBC_Internal</vt:lpwstr>
  </property>
</Properties>
</file>